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4  ·  ISO 27001 CERTIFICATION PROCESS</w:t>
      </w:r>
    </w:p>
    <w:p>
      <w:pPr>
        <w:spacing w:after="80"/>
      </w:pPr>
      <w:r>
        <w:rPr>
          <w:rFonts w:ascii="Arial" w:cs="Arial" w:eastAsia="Arial" w:hAnsi="Arial"/>
          <w:b/>
          <w:bCs/>
          <w:caps/>
          <w:color w:val="4B5563"/>
          <w:sz w:val="18"/>
          <w:szCs w:val="18"/>
        </w:rPr>
        <w:t xml:space="preserve">ARTICLE 4.7  ·  COMMON REASONS CERTIFICATIONS FAIL</w:t>
      </w:r>
    </w:p>
    <w:p>
      <w:pPr>
        <w:pStyle w:val="Heading1"/>
        <w:spacing w:after="120"/>
      </w:pPr>
      <w:r>
        <w:rPr>
          <w:rFonts w:ascii="Arial" w:cs="Arial" w:eastAsia="Arial" w:hAnsi="Arial"/>
          <w:b/>
          <w:bCs/>
          <w:color w:val="1B3A5C"/>
          <w:sz w:val="44"/>
          <w:szCs w:val="44"/>
        </w:rPr>
        <w:t xml:space="preserve">Common Reasons Certifications Fail</w:t>
      </w:r>
    </w:p>
    <w:p>
      <w:pPr>
        <w:spacing w:after="60"/>
      </w:pPr>
      <w:r>
        <w:rPr>
          <w:rFonts w:ascii="Georgia" w:cs="Georgia" w:eastAsia="Georgia" w:hAnsi="Georgia"/>
          <w:i/>
          <w:iCs/>
          <w:color w:val="4B5563"/>
          <w:sz w:val="24"/>
          <w:szCs w:val="24"/>
        </w:rPr>
        <w:t xml:space="preserve">The 15 most common reasons ISO 27001 certifications fail, stall, or are suspended — with the specific warning signals that each failure mode produces, prevention strategies that address root causes rather than symptoms, and a self-diagnostic questionnaire to assess ISMS health at any point in the certification cycle.</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Most ISO 27001 certification failures are predictable. The failure modes repeat across organizations of different sizes, sectors, and geographies with remarkable consistency. The organizations that fail — either at initial certification or at surveillance — almost always fall into one of a small number of patterns: nominal leadership with no genuine governance, controls implemented on paper but not in practice, operational discipline that existed for the certification audit and degraded afterward, or root cause failures that allow the same problems to recur cycle after cycle.</w:t>
      </w:r>
    </w:p>
    <w:p>
      <w:pPr>
        <w:spacing w:after="80"/>
      </w:pPr>
      <w:r>
        <w:t xml:space="preserve"/>
      </w:r>
    </w:p>
    <w:p>
      <w:pPr>
        <w:spacing w:after="160" w:line="320"/>
        <w:jc w:val="both"/>
      </w:pPr>
      <w:r>
        <w:rPr>
          <w:rFonts w:ascii="Georgia" w:cs="Georgia" w:eastAsia="Georgia" w:hAnsi="Georgia"/>
          <w:color w:val="111827"/>
          <w:sz w:val="22"/>
          <w:szCs w:val="22"/>
        </w:rPr>
        <w:t xml:space="preserve">Understanding these failure modes is valuable at every stage of the certification lifecycle. Before implementation: to design the ISMS with the failure modes explicitly avoided. During implementation: to recognize warning signs early and correct course. Before audits: to assess actual readiness rather than assumed readiness. After findings: to understand whether a corrective action genuinely addresses the root cause.</w:t>
      </w:r>
    </w:p>
    <w:p>
      <w:pPr>
        <w:spacing w:after="80"/>
      </w:pPr>
      <w:r>
        <w:t xml:space="preserve"/>
      </w:r>
    </w:p>
    <w:p>
      <w:pPr>
        <w:spacing w:after="160" w:line="320"/>
        <w:jc w:val="both"/>
      </w:pPr>
      <w:r>
        <w:rPr>
          <w:rFonts w:ascii="Georgia" w:cs="Georgia" w:eastAsia="Georgia" w:hAnsi="Georgia"/>
          <w:color w:val="111827"/>
          <w:sz w:val="22"/>
          <w:szCs w:val="22"/>
        </w:rPr>
        <w:t xml:space="preserve">This article maps 15 common certification failures in detail — with the specific signals each produces, the prevention strategies that work, and the self-diagnostic questions that allow any organization to assess its own risk exposure. It is the capstone article for Section 4 and draws on the patterns explored across Articles 4.1 through 4.6.</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Six Categories of Certification Failure</w:t>
      </w:r>
    </w:p>
    <w:p>
      <w:pPr>
        <w:spacing w:after="80"/>
      </w:pPr>
      <w:r>
        <w:t xml:space="preserve"/>
      </w:r>
    </w:p>
    <w:p>
      <w:pPr>
        <w:spacing w:after="160" w:line="320"/>
        <w:jc w:val="both"/>
      </w:pPr>
      <w:r>
        <w:rPr>
          <w:rFonts w:ascii="Georgia" w:cs="Georgia" w:eastAsia="Georgia" w:hAnsi="Georgia"/>
          <w:color w:val="111827"/>
          <w:sz w:val="22"/>
          <w:szCs w:val="22"/>
        </w:rPr>
        <w:t xml:space="preserve">Certification failures cluster into six categories — each representing a distinct failure mechanism with its own signals, timing, and prevention approach. Understanding the category helps direct the right kind of intervention: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800"/>
        <w:gridCol w:w="1000"/>
        <w:gridCol w:w="456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Failure category</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When it surfaces</w:t>
            </w:r>
          </w:p>
        </w:tc>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Frequency</w:t>
            </w:r>
          </w:p>
        </w:tc>
        <w:tc>
          <w:tcPr>
            <w:tcW w:type="dxa" w:w="4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it looks like</w:t>
            </w:r>
          </w:p>
        </w:tc>
      </w:tr>
      <w:tr>
        <w:tc>
          <w:tcPr>
            <w:tcW w:type="dxa"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Implementation failures</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Stage 2 / Recertification</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Georgia" w:cs="Georgia" w:eastAsia="Georgia" w:hAnsi="Georgia"/>
                <w:color w:val="B45309"/>
                <w:sz w:val="16"/>
                <w:szCs w:val="16"/>
              </w:rPr>
              <w:t xml:space="preserve">Very common</w:t>
            </w:r>
          </w:p>
        </w:tc>
        <w:tc>
          <w:tcPr>
            <w:tcW w:type="dxa" w:w="45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Controls planned but not deployed. SoA says 'implemented' but evidence does not exist. Management review never conducted. Risk assessment not completed.</w:t>
            </w:r>
          </w:p>
        </w:tc>
      </w:tr>
      <w:tr>
        <w:tc>
          <w:tcPr>
            <w:tcW w:type="dxa"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Governance failures</w:t>
            </w:r>
          </w:p>
        </w:tc>
        <w:tc>
          <w:tcPr>
            <w:tcW w:type="dxa" w:w="1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Stage 2 / Surveillance</w:t>
            </w:r>
          </w:p>
        </w:tc>
        <w:tc>
          <w:tcPr>
            <w:tcW w:type="dxa" w:w="1000"/>
            <w:tcBorders>
              <w:top w:val="single" w:color="DBEAFE" w:sz="1"/>
              <w:left w:val="single" w:color="DBEAFE" w:sz="1"/>
              <w:bottom w:val="single" w:color="DBEAFE" w:sz="1"/>
              <w:right w:val="single" w:color="DBEAFE" w:sz="1"/>
            </w:tcBorders>
            <w:shd w:fill="FFFDF5" w:val="clear"/>
            <w:tcMar>
              <w:top w:type="dxa" w:w="100"/>
              <w:left w:type="dxa" w:w="90"/>
              <w:bottom w:type="dxa" w:w="100"/>
              <w:right w:type="dxa" w:w="90"/>
            </w:tcMar>
          </w:tcPr>
          <w:p>
            <w:pPr>
              <w:jc w:val="center"/>
            </w:pPr>
            <w:r>
              <w:rPr>
                <w:rFonts w:ascii="Georgia" w:cs="Georgia" w:eastAsia="Georgia" w:hAnsi="Georgia"/>
                <w:color w:val="B45309"/>
                <w:sz w:val="16"/>
                <w:szCs w:val="16"/>
              </w:rPr>
              <w:t xml:space="preserve">Very common</w:t>
            </w:r>
          </w:p>
        </w:tc>
        <w:tc>
          <w:tcPr>
            <w:tcW w:type="dxa" w:w="45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Nominal leadership engagement — IS policy signed but CEO cannot articulate risk appetite. ISMS is an IT project without management system governance.</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Operational drift</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Surveillance / Recertification</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Georgia" w:cs="Georgia" w:eastAsia="Georgia" w:hAnsi="Georgia"/>
                <w:color w:val="B45309"/>
                <w:sz w:val="16"/>
                <w:szCs w:val="16"/>
              </w:rPr>
              <w:t xml:space="preserve">Common post-certification</w:t>
            </w:r>
          </w:p>
        </w:tc>
        <w:tc>
          <w:tcPr>
            <w:tcW w:type="dxa" w:w="45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Controls implemented at certification that quietly degrade: access reviews skipped, training lapsed, documentation stale. The ISMS was built but not maintained.</w:t>
            </w:r>
          </w:p>
        </w:tc>
      </w:tr>
      <w:tr>
        <w:tc>
          <w:tcPr>
            <w:tcW w:type="dxa"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Documentation-reality gap</w:t>
            </w:r>
          </w:p>
        </w:tc>
        <w:tc>
          <w:tcPr>
            <w:tcW w:type="dxa" w:w="1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Stage 2 / Surveillance</w:t>
            </w:r>
          </w:p>
        </w:tc>
        <w:tc>
          <w:tcPr>
            <w:tcW w:type="dxa" w:w="1000"/>
            <w:tcBorders>
              <w:top w:val="single" w:color="DBEAFE" w:sz="1"/>
              <w:left w:val="single" w:color="DBEAFE" w:sz="1"/>
              <w:bottom w:val="single" w:color="DBEAFE" w:sz="1"/>
              <w:right w:val="single" w:color="DBEAFE" w:sz="1"/>
            </w:tcBorders>
            <w:shd w:fill="FFFDF5" w:val="clear"/>
            <w:tcMar>
              <w:top w:type="dxa" w:w="100"/>
              <w:left w:type="dxa" w:w="90"/>
              <w:bottom w:type="dxa" w:w="100"/>
              <w:right w:type="dxa" w:w="90"/>
            </w:tcMar>
          </w:tcPr>
          <w:p>
            <w:pPr>
              <w:jc w:val="center"/>
            </w:pPr>
            <w:r>
              <w:rPr>
                <w:rFonts w:ascii="Georgia" w:cs="Georgia" w:eastAsia="Georgia" w:hAnsi="Georgia"/>
                <w:color w:val="B45309"/>
                <w:sz w:val="16"/>
                <w:szCs w:val="16"/>
              </w:rPr>
              <w:t xml:space="preserve">Common</w:t>
            </w:r>
          </w:p>
        </w:tc>
        <w:tc>
          <w:tcPr>
            <w:tcW w:type="dxa" w:w="45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Procedures describe processes that do not operate as documented. SoA status does not match actual control deployment. Risk register does not reflect current organizational state.</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Root cause failure</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Surveillance / Recertification</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Georgia" w:cs="Georgia" w:eastAsia="Georgia" w:hAnsi="Georgia"/>
                <w:color w:val="B45309"/>
                <w:sz w:val="16"/>
                <w:szCs w:val="16"/>
              </w:rPr>
              <w:t xml:space="preserve">Common</w:t>
            </w:r>
          </w:p>
        </w:tc>
        <w:tc>
          <w:tcPr>
            <w:tcW w:type="dxa" w:w="45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Corrective actions close symptoms rather than causes. Same finding types recur across audit cycles. Internal audit program is producing paperwork, not improvement.</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Timing failures</w:t>
            </w:r>
          </w:p>
        </w:tc>
        <w:tc>
          <w:tcPr>
            <w:tcW w:type="dxa" w:w="1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7"/>
                <w:szCs w:val="17"/>
              </w:rPr>
              <w:t xml:space="preserve">All audit stages</w:t>
            </w:r>
          </w:p>
        </w:tc>
        <w:tc>
          <w:tcPr>
            <w:tcW w:type="dxa" w:w="1000"/>
            <w:tcBorders>
              <w:top w:val="single" w:color="DBEAFE" w:sz="1"/>
              <w:left w:val="single" w:color="DBEAFE" w:sz="1"/>
              <w:bottom w:val="single" w:color="DBEAFE" w:sz="1"/>
              <w:right w:val="single" w:color="DBEAFE" w:sz="1"/>
            </w:tcBorders>
            <w:shd w:fill="FFFDF5" w:val="clear"/>
            <w:tcMar>
              <w:top w:type="dxa" w:w="100"/>
              <w:left w:type="dxa" w:w="90"/>
              <w:bottom w:type="dxa" w:w="100"/>
              <w:right w:type="dxa" w:w="90"/>
            </w:tcMar>
          </w:tcPr>
          <w:p>
            <w:pPr>
              <w:jc w:val="center"/>
            </w:pPr>
            <w:r>
              <w:rPr>
                <w:rFonts w:ascii="Georgia" w:cs="Georgia" w:eastAsia="Georgia" w:hAnsi="Georgia"/>
                <w:color w:val="B45309"/>
                <w:sz w:val="16"/>
                <w:szCs w:val="16"/>
              </w:rPr>
              <w:t xml:space="preserve">Moderately common</w:t>
            </w:r>
          </w:p>
        </w:tc>
        <w:tc>
          <w:tcPr>
            <w:tcW w:type="dxa" w:w="45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Implementation not ready for Stage 2 date. Surveillance audit missed or delayed. Recertification audit not scheduled before certificate expiry.</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COMMON ROOT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Almost every certification failure in the table above shares a common underlying cause: the ISMS was built for certification rather than for security. When an organization's primary motivation is to obtain a certificate rather than to manage information security risks genuinely, the result is an ISMS that passes audits on paper while failing as a management system. The most reliable predictor of certification success is whether the organization is building an ISMS it will use — not just one it can show.</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15 Most Common Failure Reasons</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15 most frequently observed certification failure reasons — ranked by impact, with each entry showing what the failure looks like in practice, the specific signals that indicate the failure is present, and the prevention approach that addresses the root cause: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2600"/>
        <w:gridCol w:w="960"/>
        <w:gridCol w:w="6320"/>
      </w:tblGrid>
      <w:tr>
        <w:tc>
          <w:tcPr>
            <w:tcW w:type="dxa" w:w="48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8"/>
                <w:szCs w:val="18"/>
              </w:rPr>
              <w:t xml:space="preserve">#</w:t>
            </w:r>
          </w:p>
        </w:tc>
        <w:tc>
          <w:tcPr>
            <w:tcW w:type="dxa" w:w="26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Failure reason</w:t>
            </w:r>
          </w:p>
        </w:tc>
        <w:tc>
          <w:tcPr>
            <w:tcW w:type="dxa" w:w="96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8"/>
                <w:szCs w:val="18"/>
              </w:rPr>
              <w:t xml:space="preserve">Category</w:t>
            </w:r>
          </w:p>
        </w:tc>
        <w:tc>
          <w:tcPr>
            <w:tcW w:type="dxa" w:w="632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it looks like · Signal · Prevention</w:t>
            </w:r>
          </w:p>
        </w:tc>
      </w:tr>
      <w:tr>
        <w:tc>
          <w:tcPr>
            <w:tcW w:type="dxa" w:w="48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01</w:t>
            </w:r>
          </w:p>
        </w:tc>
        <w:tc>
          <w:tcPr>
            <w:tcW w:type="dxa" w:w="2600"/>
            <w:tcBorders>
              <w:top w:val="single" w:color="DBEAFE" w:sz="1"/>
              <w:left w:val="single" w:color="DBEAFE" w:sz="1"/>
              <w:bottom w:val="single" w:color="DBEAFE" w:sz="1"/>
              <w:right w:val="single" w:color="DBEAFE" w:sz="1"/>
            </w:tcBorders>
            <w:shd w:fill="FEF2F2" w:val="clear"/>
            <w:tcMar>
              <w:top w:type="dxa" w:w="110"/>
              <w:left w:type="dxa" w:w="110"/>
              <w:bottom w:type="dxa" w:w="110"/>
              <w:right w:type="dxa" w:w="110"/>
            </w:tcMar>
          </w:tcPr>
          <w:p>
            <w:r>
              <w:rPr>
                <w:rFonts w:ascii="Arial" w:cs="Arial" w:eastAsia="Arial" w:hAnsi="Arial"/>
                <w:b/>
                <w:bCs/>
                <w:color w:val="991B1B"/>
                <w:sz w:val="18"/>
                <w:szCs w:val="18"/>
              </w:rPr>
              <w:t xml:space="preserve">No management review was ever conducted</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Governance</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The most common major NC in first-cycle certifications. Organizations complete the risk assessment, the policies, the SoA — and never conduct the management review because it requires genuine executive time and engagement. At Stage 2, auditors ask for management review minutes and find nothing.</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ISMS Manager says 'we plan to do our first management review next month' during Stage 2 preparation. No minutes in the document register.</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Schedule the first management review no later than 3 months before Stage 2. Brief the executive sponsor on what inputs are required. Conduct a genuine review — not a walkthrough but a substantive governance meeting with documented decisions.</w:t>
            </w:r>
          </w:p>
        </w:tc>
      </w:tr>
      <w:tr>
        <w:tc>
          <w:tcPr>
            <w:tcW w:type="dxa" w:w="48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02</w:t>
            </w:r>
          </w:p>
        </w:tc>
        <w:tc>
          <w:tcPr>
            <w:tcW w:type="dxa" w:w="2600"/>
            <w:tcBorders>
              <w:top w:val="single" w:color="DBEAFE" w:sz="1"/>
              <w:left w:val="single" w:color="DBEAFE" w:sz="1"/>
              <w:bottom w:val="single" w:color="DBEAFE" w:sz="1"/>
              <w:right w:val="single" w:color="DBEAFE" w:sz="1"/>
            </w:tcBorders>
            <w:shd w:fill="FEF2F2" w:val="clear"/>
            <w:tcMar>
              <w:top w:type="dxa" w:w="110"/>
              <w:left w:type="dxa" w:w="110"/>
              <w:bottom w:type="dxa" w:w="110"/>
              <w:right w:type="dxa" w:w="110"/>
            </w:tcMar>
          </w:tcPr>
          <w:p>
            <w:r>
              <w:rPr>
                <w:rFonts w:ascii="Arial" w:cs="Arial" w:eastAsia="Arial" w:hAnsi="Arial"/>
                <w:b/>
                <w:bCs/>
                <w:color w:val="991B1B"/>
                <w:sz w:val="18"/>
                <w:szCs w:val="18"/>
              </w:rPr>
              <w:t xml:space="preserve">Risk assessment never completed or is not credible</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Implementation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Some organizations produce a risk register that lists risks without a documented methodology, uses inconsistent scoring, or produces implausibly low scores. Others never complete the risk assessment before Stage 2. Without a credible risk assessment, the SoA has no defensible foundation.</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Risk register was populated in a weekend. All risks score MEDIUM or below. No methodology document. Risk owners are all listed as 'ISMS Manager'.</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Follow the ATV methodology from Article 3.4. Calibrate the scoring scale with worked examples. Risk owners must be business managers, not the ISMS team. HIGH and CRITICAL risks must appear for regulated organizations.</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03</w:t>
            </w:r>
          </w:p>
        </w:tc>
        <w:tc>
          <w:tcPr>
            <w:tcW w:type="dxa" w:w="2600"/>
            <w:tcBorders>
              <w:top w:val="single" w:color="DBEAFE" w:sz="1"/>
              <w:left w:val="single" w:color="DBEAFE" w:sz="1"/>
              <w:bottom w:val="single" w:color="DBEAFE" w:sz="1"/>
              <w:right w:val="single" w:color="DBEAFE" w:sz="1"/>
            </w:tcBorders>
            <w:shd w:fill="FFF7ED" w:val="clear"/>
            <w:tcMar>
              <w:top w:type="dxa" w:w="110"/>
              <w:left w:type="dxa" w:w="110"/>
              <w:bottom w:type="dxa" w:w="110"/>
              <w:right w:type="dxa" w:w="110"/>
            </w:tcMar>
          </w:tcPr>
          <w:p>
            <w:r>
              <w:rPr>
                <w:rFonts w:ascii="Arial" w:cs="Arial" w:eastAsia="Arial" w:hAnsi="Arial"/>
                <w:b/>
                <w:bCs/>
                <w:color w:val="C2410C"/>
                <w:sz w:val="18"/>
                <w:szCs w:val="18"/>
              </w:rPr>
              <w:t xml:space="preserve">SoA exclusions are not justified</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Implementation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Annex A controls excluded without specific, defensible justification. 'Not applicable' with no explanation, or exclusions of controls that clearly apply to the organization's scope, are Stage 1 or Stage 2 major NCs.</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SoA shows 12 controls excluded, most with justification 'Not applicable to our scope'. Auditor asks why A.8.28 (secure coding) is excluded for a software development company.</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Every exclusion must cite a specific reason: 'Not applicable — organization operates fully remotely with no physical premises (A.7.4)' is defensible. 'Not applicable' alone is not. Review all exclusions against the actual scope.</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04</w:t>
            </w:r>
          </w:p>
        </w:tc>
        <w:tc>
          <w:tcPr>
            <w:tcW w:type="dxa" w:w="2600"/>
            <w:tcBorders>
              <w:top w:val="single" w:color="DBEAFE" w:sz="1"/>
              <w:left w:val="single" w:color="DBEAFE" w:sz="1"/>
              <w:bottom w:val="single" w:color="DBEAFE" w:sz="1"/>
              <w:right w:val="single" w:color="DBEAFE" w:sz="1"/>
            </w:tcBorders>
            <w:shd w:fill="FFF7ED" w:val="clear"/>
            <w:tcMar>
              <w:top w:type="dxa" w:w="110"/>
              <w:left w:type="dxa" w:w="110"/>
              <w:bottom w:type="dxa" w:w="110"/>
              <w:right w:type="dxa" w:w="110"/>
            </w:tcMar>
          </w:tcPr>
          <w:p>
            <w:r>
              <w:rPr>
                <w:rFonts w:ascii="Arial" w:cs="Arial" w:eastAsia="Arial" w:hAnsi="Arial"/>
                <w:b/>
                <w:bCs/>
                <w:color w:val="C2410C"/>
                <w:sz w:val="18"/>
                <w:szCs w:val="18"/>
              </w:rPr>
              <w:t xml:space="preserve">Controls declared implemented in SoA but not actually deployed</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Implementation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SoA implementation status updated based on plans rather than reality. MFA shown as 'Yes' but only deployed for privileged accounts. Access reviews shown as 'Implemented' but never conducted. Auditors test implementation — not the SoA entry.</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SoA shows 85 controls as 'Yes — implemented'. Stage 2 auditor asks for access review records: none exist. Asks for MFA evidence: only admin accounts are enrolled.</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Update SoA implementation status to reflect reality at the time of audit. 'Partial' is better than 'Yes' for a half-deployed control. Never update SoA to 'Yes' until evidence of full implementation exists.</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05</w:t>
            </w:r>
          </w:p>
        </w:tc>
        <w:tc>
          <w:tcPr>
            <w:tcW w:type="dxa" w:w="2600"/>
            <w:tcBorders>
              <w:top w:val="single" w:color="DBEAFE" w:sz="1"/>
              <w:left w:val="single" w:color="DBEAFE" w:sz="1"/>
              <w:bottom w:val="single" w:color="DBEAFE" w:sz="1"/>
              <w:right w:val="single" w:color="DBEAFE" w:sz="1"/>
            </w:tcBorders>
            <w:shd w:fill="FFF7ED" w:val="clear"/>
            <w:tcMar>
              <w:top w:type="dxa" w:w="110"/>
              <w:left w:type="dxa" w:w="110"/>
              <w:bottom w:type="dxa" w:w="110"/>
              <w:right w:type="dxa" w:w="110"/>
            </w:tcMar>
          </w:tcPr>
          <w:p>
            <w:r>
              <w:rPr>
                <w:rFonts w:ascii="Arial" w:cs="Arial" w:eastAsia="Arial" w:hAnsi="Arial"/>
                <w:b/>
                <w:bCs/>
                <w:color w:val="C2410C"/>
                <w:sz w:val="18"/>
                <w:szCs w:val="18"/>
              </w:rPr>
              <w:t xml:space="preserve">Nominal leadership — IS policy not signed by CEO</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Governance</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IS Policy signed by CISO or IT Manager. CEO interviewed and cannot articulate the organization's risk appetite or top risks. Management review was chaired by CISO without CEO attendance. ISO 27001 Clause 5.1 requires top management leadership — not delegation.</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IS Policy footer shows 'Approved by: Head of Information Security'. CEO interview: 'Security is important — you'd need to ask the CISO about specifics.'</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IS Policy must be approved by CEO. CEO must personally attend management review. Brief CEO specifically for the leadership interview. Clause 5.1 is tested directly — prepare the right people.</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06</w:t>
            </w:r>
          </w:p>
        </w:tc>
        <w:tc>
          <w:tcPr>
            <w:tcW w:type="dxa" w:w="2600"/>
            <w:tcBorders>
              <w:top w:val="single" w:color="DBEAFE" w:sz="1"/>
              <w:left w:val="single" w:color="DBEAFE" w:sz="1"/>
              <w:bottom w:val="single" w:color="DBEAFE" w:sz="1"/>
              <w:right w:val="single" w:color="DBEAFE" w:sz="1"/>
            </w:tcBorders>
            <w:shd w:fill="FFFBEB" w:val="clear"/>
            <w:tcMar>
              <w:top w:type="dxa" w:w="110"/>
              <w:left w:type="dxa" w:w="110"/>
              <w:bottom w:type="dxa" w:w="110"/>
              <w:right w:type="dxa" w:w="110"/>
            </w:tcMar>
          </w:tcPr>
          <w:p>
            <w:r>
              <w:rPr>
                <w:rFonts w:ascii="Arial" w:cs="Arial" w:eastAsia="Arial" w:hAnsi="Arial"/>
                <w:b/>
                <w:bCs/>
                <w:color w:val="B45309"/>
                <w:sz w:val="18"/>
                <w:szCs w:val="18"/>
              </w:rPr>
              <w:t xml:space="preserve">Internal audit conducted but found nothing</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Governance</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Internal audit report covers all clauses and produces zero nonconformities in a first-cycle ISMS. Auditors recognize this pattern — a genuine first-cycle internal audit almost always finds minor gaps. A zero-finding report signals a superficial audit.</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Internal audit report: 'All areas reviewed and found to be compliant.' Six-page report covering Clauses 4–10 and Annex A with no specific findings.</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Conduct the internal audit rigorously — test operational evidence, not just document existence. If the internal audit finds nothing, audit the audit. Review the internal auditor's methodology. A first-cycle ISMS with no internal audit findings is implausible.</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07</w:t>
            </w:r>
          </w:p>
        </w:tc>
        <w:tc>
          <w:tcPr>
            <w:tcW w:type="dxa" w:w="2600"/>
            <w:tcBorders>
              <w:top w:val="single" w:color="DBEAFE" w:sz="1"/>
              <w:left w:val="single" w:color="DBEAFE" w:sz="1"/>
              <w:bottom w:val="single" w:color="DBEAFE" w:sz="1"/>
              <w:right w:val="single" w:color="DBEAFE" w:sz="1"/>
            </w:tcBorders>
            <w:shd w:fill="FFFBEB" w:val="clear"/>
            <w:tcMar>
              <w:top w:type="dxa" w:w="110"/>
              <w:left w:type="dxa" w:w="110"/>
              <w:bottom w:type="dxa" w:w="110"/>
              <w:right w:type="dxa" w:w="110"/>
            </w:tcMar>
          </w:tcPr>
          <w:p>
            <w:r>
              <w:rPr>
                <w:rFonts w:ascii="Arial" w:cs="Arial" w:eastAsia="Arial" w:hAnsi="Arial"/>
                <w:b/>
                <w:bCs/>
                <w:color w:val="B45309"/>
                <w:sz w:val="18"/>
                <w:szCs w:val="18"/>
              </w:rPr>
              <w:t xml:space="preserve">Staff cannot answer basic awareness questions</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Implementation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Non-IT staff interviewed cannot explain the IS policy, do not know how to report a security incident, and have not completed awareness training. LMS completion records may exist, but the training has not produced behavioral awareness.</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Customer service representative interview: 'I got a training email but I don't really remember what it was about.' Finance staff: 'I'm not sure who to call if I think something's wrong.'</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Awareness training must produce genuine understanding, not just completion records. Phishing simulations and behavioral tests reveal real awareness levels. Non-IT staff interviews are a standard Stage 2 activity — prepare staff for genuine understanding, not scripted answers.</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08</w:t>
            </w:r>
          </w:p>
        </w:tc>
        <w:tc>
          <w:tcPr>
            <w:tcW w:type="dxa" w:w="2600"/>
            <w:tcBorders>
              <w:top w:val="single" w:color="DBEAFE" w:sz="1"/>
              <w:left w:val="single" w:color="DBEAFE" w:sz="1"/>
              <w:bottom w:val="single" w:color="DBEAFE" w:sz="1"/>
              <w:right w:val="single" w:color="DBEAFE" w:sz="1"/>
            </w:tcBorders>
            <w:shd w:fill="FFFBEB" w:val="clear"/>
            <w:tcMar>
              <w:top w:type="dxa" w:w="110"/>
              <w:left w:type="dxa" w:w="110"/>
              <w:bottom w:type="dxa" w:w="110"/>
              <w:right w:type="dxa" w:w="110"/>
            </w:tcMar>
          </w:tcPr>
          <w:p>
            <w:r>
              <w:rPr>
                <w:rFonts w:ascii="Arial" w:cs="Arial" w:eastAsia="Arial" w:hAnsi="Arial"/>
                <w:b/>
                <w:bCs/>
                <w:color w:val="B45309"/>
                <w:sz w:val="18"/>
                <w:szCs w:val="18"/>
              </w:rPr>
              <w:t xml:space="preserve">Access reviews never conducted</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Implementation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Access Control Policy requires quarterly reviews but no review has ever been completed. Common where the policy was written for certification but the process was never operationalized. Evidence of access reviews is a specific Stage 2 request.</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IT Manager: 'We do ad hoc access reviews when we think about it.' No access review reports in the evidence library. Policy states 'quarterly review' — no evidence of any review in the past 12 months.</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Conduct the first formal access review before Stage 2. Build the review into the operational calendar with calendar alerts and a designated owner. The first review often uncovers significant stale access — address it promptly and document the evidence.</w:t>
            </w:r>
          </w:p>
        </w:tc>
      </w:tr>
      <w:tr>
        <w:tc>
          <w:tcPr>
            <w:tcW w:type="dxa" w:w="480"/>
            <w:tcBorders>
              <w:top w:val="single" w:color="DBEAFE" w:sz="1"/>
              <w:left w:val="single" w:color="DBEAFE" w:sz="1"/>
              <w:bottom w:val="single" w:color="DBEAFE" w:sz="1"/>
              <w:right w:val="single" w:color="DBEAFE" w:sz="1"/>
            </w:tcBorders>
            <w:shd w:fill="6D28D9"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09</w:t>
            </w:r>
          </w:p>
        </w:tc>
        <w:tc>
          <w:tcPr>
            <w:tcW w:type="dxa" w:w="2600"/>
            <w:tcBorders>
              <w:top w:val="single" w:color="DBEAFE" w:sz="1"/>
              <w:left w:val="single" w:color="DBEAFE" w:sz="1"/>
              <w:bottom w:val="single" w:color="DBEAFE" w:sz="1"/>
              <w:right w:val="single" w:color="DBEAFE" w:sz="1"/>
            </w:tcBorders>
            <w:shd w:fill="F5F3FF" w:val="clear"/>
            <w:tcMar>
              <w:top w:type="dxa" w:w="110"/>
              <w:left w:type="dxa" w:w="110"/>
              <w:bottom w:type="dxa" w:w="110"/>
              <w:right w:type="dxa" w:w="110"/>
            </w:tcMar>
          </w:tcPr>
          <w:p>
            <w:r>
              <w:rPr>
                <w:rFonts w:ascii="Arial" w:cs="Arial" w:eastAsia="Arial" w:hAnsi="Arial"/>
                <w:b/>
                <w:bCs/>
                <w:color w:val="6D28D9"/>
                <w:sz w:val="18"/>
                <w:szCs w:val="18"/>
              </w:rPr>
              <w:t xml:space="preserve">Supplier contracts lack security requirements</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Implementation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All critical supplier contracts — cloud providers, SaaS tools, payment processors — lack security addenda. No DPAs for personal data processors. Supplier register does not exist. Annex A 5.19–5.23 is not implemented beyond the policy document.</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Supplier register missing or contains only partial entries. Cloud provider contracts have no security addendum. No evidence of supplier monitoring since certification.</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Start supplier contract security addenda negotiations in Phase 3, not Phase 4. Identify top 5–8 critical suppliers and prioritize. Supplier contract negotiation takes time — start early. UU PDP DPA obligations add urgency for personal data processors.</w:t>
            </w:r>
          </w:p>
        </w:tc>
      </w:tr>
      <w:tr>
        <w:tc>
          <w:tcPr>
            <w:tcW w:type="dxa"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10</w:t>
            </w:r>
          </w:p>
        </w:tc>
        <w:tc>
          <w:tcPr>
            <w:tcW w:type="dxa" w:w="2600"/>
            <w:tcBorders>
              <w:top w:val="single" w:color="DBEAFE" w:sz="1"/>
              <w:left w:val="single" w:color="DBEAFE" w:sz="1"/>
              <w:bottom w:val="single" w:color="DBEAFE" w:sz="1"/>
              <w:right w:val="single" w:color="DBEAFE" w:sz="1"/>
            </w:tcBorders>
            <w:shd w:fill="F0FDFA" w:val="clear"/>
            <w:tcMar>
              <w:top w:type="dxa" w:w="110"/>
              <w:left w:type="dxa" w:w="110"/>
              <w:bottom w:type="dxa" w:w="110"/>
              <w:right w:type="dxa" w:w="110"/>
            </w:tcMar>
          </w:tcPr>
          <w:p>
            <w:r>
              <w:rPr>
                <w:rFonts w:ascii="Arial" w:cs="Arial" w:eastAsia="Arial" w:hAnsi="Arial"/>
                <w:b/>
                <w:bCs/>
                <w:color w:val="0F766E"/>
                <w:sz w:val="18"/>
                <w:szCs w:val="18"/>
              </w:rPr>
              <w:t xml:space="preserve">Objectives are not measurable</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Documentation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IS Objectives register contains aspirational statements rather than SMART objectives. 'Improve security awareness' and 'reduce incidents' are not objectives under Clause 6.2 — they lack targets, measurement methods, owners, and action plans.</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IS Objectives: '1. Maintain certification. 2. Improve security culture. 3. Enhance technical controls.' No targets, no measurement, no owners, no action plans.</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Every objective needs: specific target (e.g. '&lt;5% phishing click rate'), measurement method (quarterly simulation), owner (CISO), and target date. Review against this checklist before Stage 1 submission.</w:t>
            </w:r>
          </w:p>
        </w:tc>
      </w:tr>
      <w:tr>
        <w:tc>
          <w:tcPr>
            <w:tcW w:type="dxa"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11</w:t>
            </w:r>
          </w:p>
        </w:tc>
        <w:tc>
          <w:tcPr>
            <w:tcW w:type="dxa" w:w="2600"/>
            <w:tcBorders>
              <w:top w:val="single" w:color="DBEAFE" w:sz="1"/>
              <w:left w:val="single" w:color="DBEAFE" w:sz="1"/>
              <w:bottom w:val="single" w:color="DBEAFE" w:sz="1"/>
              <w:right w:val="single" w:color="DBEAFE" w:sz="1"/>
            </w:tcBorders>
            <w:shd w:fill="F0FDFA" w:val="clear"/>
            <w:tcMar>
              <w:top w:type="dxa" w:w="110"/>
              <w:left w:type="dxa" w:w="110"/>
              <w:bottom w:type="dxa" w:w="110"/>
              <w:right w:type="dxa" w:w="110"/>
            </w:tcMar>
          </w:tcPr>
          <w:p>
            <w:r>
              <w:rPr>
                <w:rFonts w:ascii="Arial" w:cs="Arial" w:eastAsia="Arial" w:hAnsi="Arial"/>
                <w:b/>
                <w:bCs/>
                <w:color w:val="0F766E"/>
                <w:sz w:val="18"/>
                <w:szCs w:val="18"/>
              </w:rPr>
              <w:t xml:space="preserve">Document control is absent or chaotic</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Documentation</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ISMS documents have no version numbers, no approval dates, no named owners, and no review dates. Draft policies are in the Stage 1 package. The document register does not match the documents actually in use. Clause 7.5 is not met.</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Stage 1 package contains three different versions of the IS Policy with no version numbers. Document register lists documents that do not exist. Several documents are marked 'DRAFT'.</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Establish document control before the Stage 1 package is assembled. Every document needs: unique ID, version number, approval date, named owner, review date. Document register must match actual documents. No DRAFT documents in Stage 1.</w:t>
            </w:r>
          </w:p>
        </w:tc>
      </w:tr>
      <w:tr>
        <w:tc>
          <w:tcPr>
            <w:tcW w:type="dxa" w:w="48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12</w:t>
            </w:r>
          </w:p>
        </w:tc>
        <w:tc>
          <w:tcPr>
            <w:tcW w:type="dxa" w:w="260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Arial" w:cs="Arial" w:eastAsia="Arial" w:hAnsi="Arial"/>
                <w:b/>
                <w:bCs/>
                <w:color w:val="3730A3"/>
                <w:sz w:val="18"/>
                <w:szCs w:val="18"/>
              </w:rPr>
              <w:t xml:space="preserve">Implementation timeline too compressed</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Timing</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Organization attempts to certify in 4–6 months from standing start. Risk assessment, SoA, 10 policies, control implementation, internal audit, and management review cannot all be done well in 4–6 months without experienced implementation support.</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ISMS Manager confirms ISMS project started 5 months ago. Internal audit was conducted last week. Management review is scheduled for next week. Controls implementation 'mostly done'.</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Allow 9–12 months for a focused first-cycle implementation with experienced ISMS staff. Engage an external consultant to accelerate if timeline is fixed. Do not compress the timeline by skipping steps — every skipped step becomes a finding.</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13</w:t>
            </w:r>
          </w:p>
        </w:tc>
        <w:tc>
          <w:tcPr>
            <w:tcW w:type="dxa" w:w="2600"/>
            <w:tcBorders>
              <w:top w:val="single" w:color="DBEAFE" w:sz="1"/>
              <w:left w:val="single" w:color="DBEAFE" w:sz="1"/>
              <w:bottom w:val="single" w:color="DBEAFE" w:sz="1"/>
              <w:right w:val="single" w:color="DBEAFE" w:sz="1"/>
            </w:tcBorders>
            <w:shd w:fill="FFFBEB" w:val="clear"/>
            <w:tcMar>
              <w:top w:type="dxa" w:w="110"/>
              <w:left w:type="dxa" w:w="110"/>
              <w:bottom w:type="dxa" w:w="110"/>
              <w:right w:type="dxa" w:w="110"/>
            </w:tcMar>
          </w:tcPr>
          <w:p>
            <w:r>
              <w:rPr>
                <w:rFonts w:ascii="Arial" w:cs="Arial" w:eastAsia="Arial" w:hAnsi="Arial"/>
                <w:b/>
                <w:bCs/>
                <w:color w:val="B45309"/>
                <w:sz w:val="18"/>
                <w:szCs w:val="18"/>
              </w:rPr>
              <w:t xml:space="preserve">Risk register not updated after organizational changes</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Operational drift</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Organization launches new products, migrates to new cloud platforms, hires 50 new staff, enters new regulated markets — and the risk register remains unchanged from initial certification. Surveillance auditors probe for changes and find ISMS documentation has not followed the organization.</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Surveillance Year 1: 'Walk me through the significant changes since certification.' ISMS Manager lists 3 major changes. Auditor reviews risk register: no entries updated for any of these changes.</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Risk register review is a standing monthly ISMS activity. Significant changes trigger targeted risk assessment updates. Don't wait for the annual review cycle if the organizational context has changed materially.</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14</w:t>
            </w:r>
          </w:p>
        </w:tc>
        <w:tc>
          <w:tcPr>
            <w:tcW w:type="dxa" w:w="2600"/>
            <w:tcBorders>
              <w:top w:val="single" w:color="DBEAFE" w:sz="1"/>
              <w:left w:val="single" w:color="DBEAFE" w:sz="1"/>
              <w:bottom w:val="single" w:color="DBEAFE" w:sz="1"/>
              <w:right w:val="single" w:color="DBEAFE" w:sz="1"/>
            </w:tcBorders>
            <w:shd w:fill="FFF7ED" w:val="clear"/>
            <w:tcMar>
              <w:top w:type="dxa" w:w="110"/>
              <w:left w:type="dxa" w:w="110"/>
              <w:bottom w:type="dxa" w:w="110"/>
              <w:right w:type="dxa" w:w="110"/>
            </w:tcMar>
          </w:tcPr>
          <w:p>
            <w:r>
              <w:rPr>
                <w:rFonts w:ascii="Arial" w:cs="Arial" w:eastAsia="Arial" w:hAnsi="Arial"/>
                <w:b/>
                <w:bCs/>
                <w:color w:val="C2410C"/>
                <w:sz w:val="18"/>
                <w:szCs w:val="18"/>
              </w:rPr>
              <w:t xml:space="preserve">Post-certification relaxation of operational discipline</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Operational drift</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Controls that ran consistently for 3 months before Stage 2 quietly stop after certification. Quarterly access reviews: one done before Stage 2, none since. Vulnerability scans: consistent before Stage 2, quarterly since then. Phishing simulations: run for the audit, never again.</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Surveillance Year 1 evidence timeline: all activity in the 90 days before Stage 2. Gap of 10 months. 30 days of activity before surveillance. Pattern is unmistakable.</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The post-certification calendar from Article 4.5 exists precisely to prevent this. Operational activities must be calendar-driven and owner-assigned, not initiative-driven. Evidence should tell a consistent 12-month story, not a 90-day one.</w:t>
            </w:r>
          </w:p>
        </w:tc>
      </w:tr>
      <w:tr>
        <w:tc>
          <w:tcPr>
            <w:tcW w:type="dxa" w:w="480"/>
            <w:tcBorders>
              <w:top w:val="single" w:color="DBEAFE" w:sz="1"/>
              <w:left w:val="single" w:color="DBEAFE" w:sz="1"/>
              <w:bottom w:val="single" w:color="DBEAFE" w:sz="1"/>
              <w:right w:val="single" w:color="DBEAFE" w:sz="1"/>
            </w:tcBorders>
            <w:shd w:fill="6D28D9" w:val="clear"/>
            <w:tcMar>
              <w:top w:type="dxa" w:w="110"/>
              <w:left w:type="dxa" w:w="80"/>
              <w:bottom w:type="dxa" w:w="110"/>
              <w:right w:type="dxa" w:w="80"/>
            </w:tcMar>
            <w:vAlign w:val="center"/>
          </w:tcPr>
          <w:p>
            <w:pPr>
              <w:jc w:val="center"/>
            </w:pPr>
            <w:r>
              <w:rPr>
                <w:rFonts w:ascii="Arial" w:cs="Arial" w:eastAsia="Arial" w:hAnsi="Arial"/>
                <w:b/>
                <w:bCs/>
                <w:color w:val="FFFFFF"/>
                <w:sz w:val="20"/>
                <w:szCs w:val="20"/>
              </w:rPr>
              <w:t xml:space="preserve">15</w:t>
            </w:r>
          </w:p>
        </w:tc>
        <w:tc>
          <w:tcPr>
            <w:tcW w:type="dxa" w:w="2600"/>
            <w:tcBorders>
              <w:top w:val="single" w:color="DBEAFE" w:sz="1"/>
              <w:left w:val="single" w:color="DBEAFE" w:sz="1"/>
              <w:bottom w:val="single" w:color="DBEAFE" w:sz="1"/>
              <w:right w:val="single" w:color="DBEAFE" w:sz="1"/>
            </w:tcBorders>
            <w:shd w:fill="F5F3FF" w:val="clear"/>
            <w:tcMar>
              <w:top w:type="dxa" w:w="110"/>
              <w:left w:type="dxa" w:w="110"/>
              <w:bottom w:type="dxa" w:w="110"/>
              <w:right w:type="dxa" w:w="110"/>
            </w:tcMar>
          </w:tcPr>
          <w:p>
            <w:r>
              <w:rPr>
                <w:rFonts w:ascii="Arial" w:cs="Arial" w:eastAsia="Arial" w:hAnsi="Arial"/>
                <w:b/>
                <w:bCs/>
                <w:color w:val="6D28D9"/>
                <w:sz w:val="18"/>
                <w:szCs w:val="18"/>
              </w:rPr>
              <w:t xml:space="preserve">Corrective actions address symptoms, not causes</w:t>
            </w:r>
          </w:p>
        </w:tc>
        <w:tc>
          <w:tcPr>
            <w:tcW w:type="dxa" w:w="960"/>
            <w:tcBorders>
              <w:top w:val="single" w:color="DBEAFE" w:sz="1"/>
              <w:left w:val="single" w:color="DBEAFE" w:sz="1"/>
              <w:bottom w:val="single" w:color="DBEAFE" w:sz="1"/>
              <w:right w:val="single" w:color="DBEAFE" w:sz="1"/>
            </w:tcBorders>
            <w:shd w:fill="F3F4F6" w:val="clear"/>
            <w:tcMar>
              <w:top w:type="dxa" w:w="110"/>
              <w:left w:type="dxa" w:w="90"/>
              <w:bottom w:type="dxa" w:w="110"/>
              <w:right w:type="dxa" w:w="90"/>
            </w:tcMar>
          </w:tcPr>
          <w:p>
            <w:pPr>
              <w:jc w:val="center"/>
            </w:pPr>
            <w:r>
              <w:rPr>
                <w:rFonts w:ascii="Georgia" w:cs="Georgia" w:eastAsia="Georgia" w:hAnsi="Georgia"/>
                <w:i/>
                <w:iCs/>
                <w:color w:val="4B5563"/>
                <w:sz w:val="15"/>
                <w:szCs w:val="15"/>
              </w:rPr>
              <w:t xml:space="preserve">Root cause failure</w:t>
            </w:r>
          </w:p>
        </w:tc>
        <w:tc>
          <w:tcPr>
            <w:tcW w:type="dxa" w:w="63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pPr>
              <w:spacing w:after="50"/>
            </w:pPr>
            <w:r>
              <w:rPr>
                <w:rFonts w:ascii="Georgia" w:cs="Georgia" w:eastAsia="Georgia" w:hAnsi="Georgia"/>
                <w:color w:val="111827"/>
                <w:sz w:val="18"/>
                <w:szCs w:val="18"/>
              </w:rPr>
              <w:t xml:space="preserve">The same nonconformity types appear at Stage 2 that appeared in the internal audit, and again at Surveillance Year 1. Corrective actions were documented and closed, but did not address the underlying systemic cause. The corrective action process is generating records, not improvement.</w:t>
            </w:r>
          </w:p>
          <w:p>
            <w:pPr>
              <w:spacing w:after="50"/>
            </w:pPr>
            <w:r>
              <w:rPr>
                <w:rFonts w:ascii="Arial" w:cs="Arial" w:eastAsia="Arial" w:hAnsi="Arial"/>
                <w:b/>
                <w:bCs/>
                <w:color w:val="C2410C"/>
                <w:sz w:val="17"/>
                <w:szCs w:val="17"/>
              </w:rPr>
              <w:t xml:space="preserve">Signal: </w:t>
            </w:r>
            <w:r>
              <w:rPr>
                <w:rFonts w:ascii="Georgia" w:cs="Georgia" w:eastAsia="Georgia" w:hAnsi="Georgia"/>
                <w:i/>
                <w:iCs/>
                <w:color w:val="C2410C"/>
                <w:sz w:val="17"/>
                <w:szCs w:val="17"/>
              </w:rPr>
              <w:t xml:space="preserve">Internal audit NC: 'Access review overdue.' CAR closed: 'Access review completed.' Surveillance Year 1 NC: 'Access review Q3 overdue.' Same pattern. No systemic fix.</w:t>
            </w:r>
          </w:p>
          <w:p>
            <w:r>
              <w:rPr>
                <w:rFonts w:ascii="Arial" w:cs="Arial" w:eastAsia="Arial" w:hAnsi="Arial"/>
                <w:b/>
                <w:bCs/>
                <w:color w:val="065F46"/>
                <w:sz w:val="17"/>
                <w:szCs w:val="17"/>
              </w:rPr>
              <w:t xml:space="preserve">Prevention: </w:t>
            </w:r>
            <w:r>
              <w:rPr>
                <w:rFonts w:ascii="Georgia" w:cs="Georgia" w:eastAsia="Georgia" w:hAnsi="Georgia"/>
                <w:i/>
                <w:iCs/>
                <w:color w:val="065F46"/>
                <w:sz w:val="17"/>
                <w:szCs w:val="17"/>
              </w:rPr>
              <w:t xml:space="preserve">Apply the three-layer corrective action structure: immediate remediation + systemic fix + detection mechanism. If the same finding type recurs across two audit cycles, escalate to management review for systemic analysis.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Indonesian-specific failure context: In the Indonesian market in 2026, several failure patterns are particularly prevalent due to the rapid pace of regulatory change and the immaturity of the ISO 27001 market. Regulatory references in IS policies that cite outdated versions of POJK or do not include UU PDP are common, as organizations certified under the 2013 standard and did not update their policies for the 2022 transition. Supplier DPA gaps are widespread because UU PDP DPA obligations were not well understood until enforcement began. And the nominal management review pattern — where the CEO signs the policy and attends one meeting but has no ongoing engagement — is more common in Indonesian organizations than in markets with longer ISO 27001 certification histories.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10 Warning Signs Your ISMS Is At Risk</w:t>
      </w:r>
    </w:p>
    <w:p>
      <w:pPr>
        <w:spacing w:after="80"/>
      </w:pPr>
      <w:r>
        <w:t xml:space="preserve"/>
      </w:r>
    </w:p>
    <w:p>
      <w:pPr>
        <w:spacing w:after="160" w:line="320"/>
        <w:jc w:val="both"/>
      </w:pPr>
      <w:r>
        <w:rPr>
          <w:rFonts w:ascii="Georgia" w:cs="Georgia" w:eastAsia="Georgia" w:hAnsi="Georgia"/>
          <w:color w:val="111827"/>
          <w:sz w:val="22"/>
          <w:szCs w:val="22"/>
        </w:rPr>
        <w:t xml:space="preserve">The following warning signs are observable between audit cycles — they indicate an ISMS that is drifting toward a certification problem. Each one is actionable: the presence of a warning sign calls for a specific intervention, not just awareness: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480"/>
        <w:gridCol w:w="3080"/>
      </w:tblGrid>
      <w:tr>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Warning sign</w:t>
            </w:r>
          </w:p>
        </w:tc>
        <w:tc>
          <w:tcPr>
            <w:tcW w:type="dxa" w:w="3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Why it matters</w:t>
            </w:r>
          </w:p>
        </w:tc>
        <w:tc>
          <w:tcPr>
            <w:tcW w:type="dxa" w:w="3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Action</w:t>
            </w:r>
          </w:p>
        </w:tc>
      </w:tr>
      <w:tr>
        <w:tc>
          <w:tcPr>
            <w:tcW w:type="dxa" w:w="28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ISMS Manager is the only person who knows what is in the ISMS</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This signals that the ISMS is a personal project, not a management system. If the ISMS Manager leaves or is unavailable during the audit, the organization cannot demonstrate the system to auditors.</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Ensure at least two people are familiar with all aspects of the ISMS. Brief the IT Manager, HR, and CEO on their specific areas. The ISMS must survive the absence of any individual.</w:t>
            </w:r>
          </w:p>
        </w:tc>
      </w:tr>
      <w:tr>
        <w:tc>
          <w:tcPr>
            <w:tcW w:type="dxa" w:w="28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The risk register has not been updated since the last audit</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 static risk register is evidence that the ISMS is audit-driven, not genuinely operational. Organizations change. Threats evolve. A register that does not reflect this is not a risk register — it is a historical document.</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Make risk register review a standing monthly agenda item. Any significant organizational or environmental change triggers a targeted update.</w:t>
            </w:r>
          </w:p>
        </w:tc>
      </w:tr>
      <w:tr>
        <w:tc>
          <w:tcPr>
            <w:tcW w:type="dxa" w:w="28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Compliance calendar consists of activities in the 4 weeks before each audit</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The 'audit preparation' pattern — where ISMS activities cluster around audit dates — is the clearest signal to experienced auditors that the ISMS is not genuinely operational.</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Build ISMS activities into the organizational calendar with quarterly and monthly triggers that run regardless of audit proximity. Evidence spread consistently across 12 months tells a different story than evidence clustered in 6 weeks.</w:t>
            </w:r>
          </w:p>
        </w:tc>
      </w:tr>
      <w:tr>
        <w:tc>
          <w:tcPr>
            <w:tcW w:type="dxa" w:w="2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CISO says 'management is very supportive' but CEO cannot answer basic ISMS questions</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'Management support' that does not translate to management knowledge or engagement fails the Clause 5.1 leadership test. Auditors interview the CEO directly. Prepared ignorance is transparent.</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Brief the executive sponsor specifically on the top risks, current IS objectives progress, and the most significant ISMS improvement since the last audit. These are the three questions most likely to be asked.</w:t>
            </w:r>
          </w:p>
        </w:tc>
      </w:tr>
      <w:tr>
        <w:tc>
          <w:tcPr>
            <w:tcW w:type="dxa" w:w="2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Internal audit has found the same types of issues for two consecutive cycles</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Recurring findings signal that corrective actions addressed symptoms rather than causes. The corrective action process is producing documentation, not improvement.</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Conduct a pattern analysis at each management review — are the same NC types recurring? If yes, commission a root cause investigation of the corrective action process itself, not just the individual findings.</w:t>
            </w:r>
          </w:p>
        </w:tc>
      </w:tr>
      <w:tr>
        <w:tc>
          <w:tcPr>
            <w:tcW w:type="dxa" w:w="2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Suppliers have been onboarded in the last 12 months with no security review</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Supplier security management is one of the most consistently failing areas at surveillance. New suppliers onboarded without DPAs or security review represent both a compliance gap and a genuine security risk.</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Security review is a mandatory step in the supplier onboarding process — not an optional follow-up. Procurement must not be able to onboard a new supplier without triggering the security review workflow.</w:t>
            </w:r>
          </w:p>
        </w:tc>
      </w:tr>
      <w:tr>
        <w:tc>
          <w:tcPr>
            <w:tcW w:type="dxa" w:w="2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Staff turnover has replaced key ISMS role holders with unqualified staff</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The ISMS depends on people who are both assigned to roles and competent to perform them. When role holders change and no transition or competence verification occurs, the ISMS loses the people capacity it certified on.</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ISMS role changes trigger an immediate competence review and transition briefing. Incoming role holders must have adequate training before they are responsible for ISMS activities.</w:t>
            </w:r>
          </w:p>
        </w:tc>
      </w:tr>
      <w:tr>
        <w:tc>
          <w:tcPr>
            <w:tcW w:type="dxa" w:w="2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The IS Policy has not been reviewed in more than 18 months</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An IS Policy with a lapsed review date signals that document control is not functioning. Worse, it may contain regulatory references or risk appetite statements that no longer reflect the organization's current state.</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IS Policy review is an annual activity regardless of whether anything has changed. Add it to the executive calendar as a recurring annual commitment, not an ad hoc initiative.</w:t>
            </w:r>
          </w:p>
        </w:tc>
      </w:tr>
      <w:tr>
        <w:tc>
          <w:tcPr>
            <w:tcW w:type="dxa" w:w="2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Control evidence exists only in email chains, not in organized records</w:t>
            </w:r>
          </w:p>
        </w:tc>
        <w:tc>
          <w:tcPr>
            <w:tcW w:type="dxa" w:w="3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Evidence that exists only in emails — 'the access review was done, I asked the managers and they replied' — is not organized documented information. It cannot be retrieved quickly, it is not version-controlled, and it signals poor ISMS record management.</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Every control must produce evidence in an organized, retrievable format. Access review: a completed form with manager sign-off, filed in the ISMS evidence library. Email is a communication tool, not an evidence management system.</w:t>
            </w:r>
          </w:p>
        </w:tc>
      </w:tr>
      <w:tr>
        <w:tc>
          <w:tcPr>
            <w:tcW w:type="dxa" w:w="2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Nobody knows when the next surveillance audit is</w:t>
            </w:r>
          </w:p>
        </w:tc>
        <w:tc>
          <w:tcPr>
            <w:tcW w:type="dxa" w:w="3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If the ISMS Manager does not know the surveillance audit date, there is no structured preparation in progress. For a certificate-critical activity, this represents a significant organizational risk.</w:t>
            </w:r>
          </w:p>
        </w:tc>
        <w:tc>
          <w:tcPr>
            <w:tcW w:type="dxa" w:w="30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The surveillance audit date should be in the executive calendar, the ISMS Manager's calendar, and the ISMS operational calendar from the moment it is confirmed with the CB.</w:t>
            </w:r>
          </w:p>
        </w:tc>
      </w:tr>
    </w:tbl>
    <w:p>
      <w:pPr>
        <w:spacing w:after="160"/>
      </w:pPr>
      <w:r>
        <w:t xml:space="preserve"/>
      </w:r>
    </w:p>
    <w:p>
      <w:pPr>
        <w:spacing w:after="160" w:line="320"/>
        <w:jc w:val="both"/>
      </w:pPr>
      <w:r>
        <w:rPr>
          <w:rFonts w:ascii="Georgia" w:cs="Georgia" w:eastAsia="Georgia" w:hAnsi="Georgia"/>
          <w:color w:val="111827"/>
          <w:sz w:val="22"/>
          <w:szCs w:val="22"/>
        </w:rPr>
        <w:t xml:space="preserve">Any organization that identifies three or more of these warning signs simultaneously should treat the pattern as a systemic ISMS health issue — not a collection of individual operational gaps. Three simultaneous warning signs indicate that something structural is wrong: insufficient resources, absent management engagement, or an ISMS that was built for certification and never genuinely operated. The appropriate response is a management-level ISMS health review, not a series of targeted corrective actions for individual gaps.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Self-Diagnostic: ISMS Health Assessment</w:t>
      </w:r>
    </w:p>
    <w:p>
      <w:pPr>
        <w:spacing w:after="80"/>
      </w:pPr>
      <w:r>
        <w:t xml:space="preserve"/>
      </w:r>
    </w:p>
    <w:p>
      <w:pPr>
        <w:spacing w:after="160" w:line="320"/>
        <w:jc w:val="both"/>
      </w:pPr>
      <w:r>
        <w:rPr>
          <w:rFonts w:ascii="Georgia" w:cs="Georgia" w:eastAsia="Georgia" w:hAnsi="Georgia"/>
          <w:color w:val="111827"/>
          <w:sz w:val="22"/>
          <w:szCs w:val="22"/>
        </w:rPr>
        <w:t xml:space="preserve">The questionnaire below can be used at any point in the certification cycle — before Stage 1, 6 weeks before surveillance, or as a periodic self-check. For each question, answer honestly against the actual state of the ISMS, not the intended state. Red answers indicate specific NC risk areas: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400"/>
        <w:gridCol w:w="2400"/>
        <w:gridCol w:w="1560"/>
      </w:tblGrid>
      <w:tr>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Diagnostic question</w:t>
            </w:r>
          </w:p>
        </w:tc>
        <w:tc>
          <w:tcPr>
            <w:tcW w:type="dxa" w:w="2400"/>
            <w:tcBorders>
              <w:top w:val="single" w:color="DBEAFE" w:sz="1"/>
              <w:left w:val="single" w:color="DBEAFE" w:sz="1"/>
              <w:bottom w:val="single" w:color="DBEAFE" w:sz="1"/>
              <w:right w:val="single" w:color="DBEAFE" w:sz="1"/>
            </w:tcBorders>
            <w:shd w:fill="0E9F6E" w:val="clear"/>
            <w:tcMar>
              <w:top w:type="dxa" w:w="90"/>
              <w:left w:type="dxa" w:w="110"/>
              <w:bottom w:type="dxa" w:w="90"/>
              <w:right w:type="dxa" w:w="110"/>
            </w:tcMar>
          </w:tcPr>
          <w:p>
            <w:r>
              <w:rPr>
                <w:rFonts w:ascii="Arial" w:cs="Arial" w:eastAsia="Arial" w:hAnsi="Arial"/>
                <w:b/>
                <w:bCs/>
                <w:color w:val="FFFFFF"/>
                <w:sz w:val="18"/>
                <w:szCs w:val="18"/>
              </w:rPr>
              <w:t xml:space="preserve">Green answer</w:t>
            </w:r>
          </w:p>
        </w:tc>
        <w:tc>
          <w:tcPr>
            <w:tcW w:type="dxa" w:w="24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Red answer</w:t>
            </w:r>
          </w:p>
        </w:tc>
        <w:tc>
          <w:tcPr>
            <w:tcW w:type="dxa" w:w="1560"/>
            <w:tcBorders>
              <w:top w:val="single" w:color="DBEAFE" w:sz="1"/>
              <w:left w:val="single" w:color="DBEAFE" w:sz="1"/>
              <w:bottom w:val="single" w:color="DBEAFE" w:sz="1"/>
              <w:right w:val="single" w:color="DBEAFE" w:sz="1"/>
            </w:tcBorders>
            <w:shd w:fill="3730A3" w:val="clear"/>
            <w:tcMar>
              <w:top w:type="dxa" w:w="90"/>
              <w:left w:type="dxa" w:w="110"/>
              <w:bottom w:type="dxa" w:w="90"/>
              <w:right w:type="dxa" w:w="110"/>
            </w:tcMar>
          </w:tcPr>
          <w:p>
            <w:r>
              <w:rPr>
                <w:rFonts w:ascii="Arial" w:cs="Arial" w:eastAsia="Arial" w:hAnsi="Arial"/>
                <w:b/>
                <w:bCs/>
                <w:color w:val="FFFFFF"/>
                <w:sz w:val="18"/>
                <w:szCs w:val="18"/>
              </w:rPr>
              <w:t xml:space="preserve">If red: risk</w:t>
            </w:r>
          </w:p>
        </w:tc>
      </w:tr>
      <w:tr>
        <w:tc>
          <w:tcPr>
            <w:tcW w:type="dxa" w:w="3000"/>
            <w:tcBorders>
              <w:top w:val="single" w:color="DBEAFE" w:sz="1"/>
              <w:left w:val="single" w:color="DBEAFE" w:sz="1"/>
              <w:bottom w:val="single" w:color="DBEAFE" w:sz="1"/>
              <w:right w:val="single" w:color="DBEAFE" w:sz="1"/>
            </w:tcBorders>
            <w:shd w:fill="EBF2FB" w:val="clear"/>
            <w:tcMar>
              <w:top w:type="dxa" w:w="95"/>
              <w:left w:type="dxa" w:w="110"/>
              <w:bottom w:type="dxa" w:w="95"/>
              <w:right w:type="dxa" w:w="110"/>
            </w:tcMar>
          </w:tcPr>
          <w:p>
            <w:r>
              <w:rPr>
                <w:rFonts w:ascii="Georgia" w:cs="Georgia" w:eastAsia="Georgia" w:hAnsi="Georgia"/>
                <w:color w:val="111827"/>
                <w:sz w:val="18"/>
                <w:szCs w:val="18"/>
              </w:rPr>
              <w:t xml:space="preserve">Can the CEO articulate the organization's top 3 information security risks and current risk appetite without being prompted?</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Yes — CEO can answer fluently and specifically</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No — CEO defers to CISO or provides vague answers</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5.1 major NC risk</w:t>
            </w:r>
          </w:p>
        </w:tc>
      </w:tr>
      <w:tr>
        <w:tc>
          <w:tcPr>
            <w:tcW w:type="dxa" w:w="3000"/>
            <w:tcBorders>
              <w:top w:val="single" w:color="DBEAFE" w:sz="1"/>
              <w:left w:val="single" w:color="DBEAFE" w:sz="1"/>
              <w:bottom w:val="single" w:color="DBEAFE" w:sz="1"/>
              <w:right w:val="single" w:color="DBEAFE" w:sz="1"/>
            </w:tcBorders>
            <w:shd w:fill="F0F7FF" w:val="clear"/>
            <w:tcMar>
              <w:top w:type="dxa" w:w="95"/>
              <w:left w:type="dxa" w:w="110"/>
              <w:bottom w:type="dxa" w:w="95"/>
              <w:right w:type="dxa" w:w="110"/>
            </w:tcMar>
          </w:tcPr>
          <w:p>
            <w:r>
              <w:rPr>
                <w:rFonts w:ascii="Georgia" w:cs="Georgia" w:eastAsia="Georgia" w:hAnsi="Georgia"/>
                <w:color w:val="111827"/>
                <w:sz w:val="18"/>
                <w:szCs w:val="18"/>
              </w:rPr>
              <w:t xml:space="preserve">Has at least one management review been conducted in the last 12 months with all 8 Clause 9.3.2 inputs documented?</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Yes — minutes exist, all inputs covered, decisions documented</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No management review, or minutes are sparse/undocumented</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9.3 major NC</w:t>
            </w:r>
          </w:p>
        </w:tc>
      </w:tr>
      <w:tr>
        <w:tc>
          <w:tcPr>
            <w:tcW w:type="dxa" w:w="3000"/>
            <w:tcBorders>
              <w:top w:val="single" w:color="DBEAFE" w:sz="1"/>
              <w:left w:val="single" w:color="DBEAFE" w:sz="1"/>
              <w:bottom w:val="single" w:color="DBEAFE" w:sz="1"/>
              <w:right w:val="single" w:color="DBEAFE" w:sz="1"/>
            </w:tcBorders>
            <w:shd w:fill="EBF2FB" w:val="clear"/>
            <w:tcMar>
              <w:top w:type="dxa" w:w="95"/>
              <w:left w:type="dxa" w:w="110"/>
              <w:bottom w:type="dxa" w:w="95"/>
              <w:right w:type="dxa" w:w="110"/>
            </w:tcMar>
          </w:tcPr>
          <w:p>
            <w:r>
              <w:rPr>
                <w:rFonts w:ascii="Georgia" w:cs="Georgia" w:eastAsia="Georgia" w:hAnsi="Georgia"/>
                <w:color w:val="111827"/>
                <w:sz w:val="18"/>
                <w:szCs w:val="18"/>
              </w:rPr>
              <w:t xml:space="preserve">Has the risk register been updated in the last 6 months, and does it reflect current organizational reality?</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Yes — updated for recent changes. HIGH/CRITICAL risks present.</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Unchanged since initial certification or implausibly low scores</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8.2 / Clause 6 NC risk</w:t>
            </w:r>
          </w:p>
        </w:tc>
      </w:tr>
      <w:tr>
        <w:tc>
          <w:tcPr>
            <w:tcW w:type="dxa" w:w="3000"/>
            <w:tcBorders>
              <w:top w:val="single" w:color="DBEAFE" w:sz="1"/>
              <w:left w:val="single" w:color="DBEAFE" w:sz="1"/>
              <w:bottom w:val="single" w:color="DBEAFE" w:sz="1"/>
              <w:right w:val="single" w:color="DBEAFE" w:sz="1"/>
            </w:tcBorders>
            <w:shd w:fill="F0F7FF" w:val="clear"/>
            <w:tcMar>
              <w:top w:type="dxa" w:w="95"/>
              <w:left w:type="dxa" w:w="110"/>
              <w:bottom w:type="dxa" w:w="95"/>
              <w:right w:type="dxa" w:w="110"/>
            </w:tcMar>
          </w:tcPr>
          <w:p>
            <w:r>
              <w:rPr>
                <w:rFonts w:ascii="Georgia" w:cs="Georgia" w:eastAsia="Georgia" w:hAnsi="Georgia"/>
                <w:color w:val="111827"/>
                <w:sz w:val="18"/>
                <w:szCs w:val="18"/>
              </w:rPr>
              <w:t xml:space="preserve">Is evidence of quarterly access reviews available for the last 3 consecutive quarters?</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Yes — completed reviews with manager sign-off, changes documented</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No reviews conducted or no evidence retained</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Annex A 8.3 NC</w:t>
            </w:r>
          </w:p>
        </w:tc>
      </w:tr>
      <w:tr>
        <w:tc>
          <w:tcPr>
            <w:tcW w:type="dxa" w:w="3000"/>
            <w:tcBorders>
              <w:top w:val="single" w:color="DBEAFE" w:sz="1"/>
              <w:left w:val="single" w:color="DBEAFE" w:sz="1"/>
              <w:bottom w:val="single" w:color="DBEAFE" w:sz="1"/>
              <w:right w:val="single" w:color="DBEAFE" w:sz="1"/>
            </w:tcBorders>
            <w:shd w:fill="EBF2FB" w:val="clear"/>
            <w:tcMar>
              <w:top w:type="dxa" w:w="95"/>
              <w:left w:type="dxa" w:w="110"/>
              <w:bottom w:type="dxa" w:w="95"/>
              <w:right w:type="dxa" w:w="110"/>
            </w:tcMar>
          </w:tcPr>
          <w:p>
            <w:r>
              <w:rPr>
                <w:rFonts w:ascii="Georgia" w:cs="Georgia" w:eastAsia="Georgia" w:hAnsi="Georgia"/>
                <w:color w:val="111827"/>
                <w:sz w:val="18"/>
                <w:szCs w:val="18"/>
              </w:rPr>
              <w:t xml:space="preserve">Does the SoA implementation status accurately reflect actual control deployment (not planned deployment)?</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Yes — 'Partial' used for partially deployed controls, 'Yes' only for fully evidenced</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'Yes' in SoA but no evidence exists; or 'Not started' controls still present</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6.1.3 NC risk</w:t>
            </w:r>
          </w:p>
        </w:tc>
      </w:tr>
      <w:tr>
        <w:tc>
          <w:tcPr>
            <w:tcW w:type="dxa" w:w="3000"/>
            <w:tcBorders>
              <w:top w:val="single" w:color="DBEAFE" w:sz="1"/>
              <w:left w:val="single" w:color="DBEAFE" w:sz="1"/>
              <w:bottom w:val="single" w:color="DBEAFE" w:sz="1"/>
              <w:right w:val="single" w:color="DBEAFE" w:sz="1"/>
            </w:tcBorders>
            <w:shd w:fill="F0F7FF" w:val="clear"/>
            <w:tcMar>
              <w:top w:type="dxa" w:w="95"/>
              <w:left w:type="dxa" w:w="110"/>
              <w:bottom w:type="dxa" w:w="95"/>
              <w:right w:type="dxa" w:w="110"/>
            </w:tcMar>
          </w:tcPr>
          <w:p>
            <w:r>
              <w:rPr>
                <w:rFonts w:ascii="Georgia" w:cs="Georgia" w:eastAsia="Georgia" w:hAnsi="Georgia"/>
                <w:color w:val="111827"/>
                <w:sz w:val="18"/>
                <w:szCs w:val="18"/>
              </w:rPr>
              <w:t xml:space="preserve">Have 100% of in-scope staff completed current-version security awareness training?</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LMS report shows 100% (or documented, approved exceptions)</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Completion below 95%, or current policy version not reflected</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7.3 NC</w:t>
            </w:r>
          </w:p>
        </w:tc>
      </w:tr>
      <w:tr>
        <w:tc>
          <w:tcPr>
            <w:tcW w:type="dxa" w:w="3000"/>
            <w:tcBorders>
              <w:top w:val="single" w:color="DBEAFE" w:sz="1"/>
              <w:left w:val="single" w:color="DBEAFE" w:sz="1"/>
              <w:bottom w:val="single" w:color="DBEAFE" w:sz="1"/>
              <w:right w:val="single" w:color="DBEAFE" w:sz="1"/>
            </w:tcBorders>
            <w:shd w:fill="EBF2FB" w:val="clear"/>
            <w:tcMar>
              <w:top w:type="dxa" w:w="95"/>
              <w:left w:type="dxa" w:w="110"/>
              <w:bottom w:type="dxa" w:w="95"/>
              <w:right w:type="dxa" w:w="110"/>
            </w:tcMar>
          </w:tcPr>
          <w:p>
            <w:r>
              <w:rPr>
                <w:rFonts w:ascii="Georgia" w:cs="Georgia" w:eastAsia="Georgia" w:hAnsi="Georgia"/>
                <w:color w:val="111827"/>
                <w:sz w:val="18"/>
                <w:szCs w:val="18"/>
              </w:rPr>
              <w:t xml:space="preserve">Are phishing simulation results available showing trend improvement (or a documented improvement plan if trend is flat)?</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3+ simulation results, click rate trending below 5%</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No simulations conducted or click rate static/worsening with no plan</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9.1 / awareness effectiveness signal</w:t>
            </w:r>
          </w:p>
        </w:tc>
      </w:tr>
      <w:tr>
        <w:tc>
          <w:tcPr>
            <w:tcW w:type="dxa" w:w="3000"/>
            <w:tcBorders>
              <w:top w:val="single" w:color="DBEAFE" w:sz="1"/>
              <w:left w:val="single" w:color="DBEAFE" w:sz="1"/>
              <w:bottom w:val="single" w:color="DBEAFE" w:sz="1"/>
              <w:right w:val="single" w:color="DBEAFE" w:sz="1"/>
            </w:tcBorders>
            <w:shd w:fill="F0F7FF" w:val="clear"/>
            <w:tcMar>
              <w:top w:type="dxa" w:w="95"/>
              <w:left w:type="dxa" w:w="110"/>
              <w:bottom w:type="dxa" w:w="95"/>
              <w:right w:type="dxa" w:w="110"/>
            </w:tcMar>
          </w:tcPr>
          <w:p>
            <w:r>
              <w:rPr>
                <w:rFonts w:ascii="Georgia" w:cs="Georgia" w:eastAsia="Georgia" w:hAnsi="Georgia"/>
                <w:color w:val="111827"/>
                <w:sz w:val="18"/>
                <w:szCs w:val="18"/>
              </w:rPr>
              <w:t xml:space="preserve">Are all corrective actions from the last audit cycle closed with effectiveness verification documented?</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CAR register shows all items closed with evidence of root cause resolution</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Open CARs past target date, or closed without effectiveness verification</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10.2 NC risk</w:t>
            </w:r>
          </w:p>
        </w:tc>
      </w:tr>
      <w:tr>
        <w:tc>
          <w:tcPr>
            <w:tcW w:type="dxa" w:w="3000"/>
            <w:tcBorders>
              <w:top w:val="single" w:color="DBEAFE" w:sz="1"/>
              <w:left w:val="single" w:color="DBEAFE" w:sz="1"/>
              <w:bottom w:val="single" w:color="DBEAFE" w:sz="1"/>
              <w:right w:val="single" w:color="DBEAFE" w:sz="1"/>
            </w:tcBorders>
            <w:shd w:fill="EBF2FB" w:val="clear"/>
            <w:tcMar>
              <w:top w:type="dxa" w:w="95"/>
              <w:left w:type="dxa" w:w="110"/>
              <w:bottom w:type="dxa" w:w="95"/>
              <w:right w:type="dxa" w:w="110"/>
            </w:tcMar>
          </w:tcPr>
          <w:p>
            <w:r>
              <w:rPr>
                <w:rFonts w:ascii="Georgia" w:cs="Georgia" w:eastAsia="Georgia" w:hAnsi="Georgia"/>
                <w:color w:val="111827"/>
                <w:sz w:val="18"/>
                <w:szCs w:val="18"/>
              </w:rPr>
              <w:t xml:space="preserve">Have all significant organizational changes since the last audit been reflected in ISMS documentation?</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Risk register, SoA, and scope statement updated for all material changes</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Major changes occurred but ISMS documentation unchanged</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8.2 / operational compliance NC</w:t>
            </w:r>
          </w:p>
        </w:tc>
      </w:tr>
      <w:tr>
        <w:tc>
          <w:tcPr>
            <w:tcW w:type="dxa" w:w="3000"/>
            <w:tcBorders>
              <w:top w:val="single" w:color="DBEAFE" w:sz="1"/>
              <w:left w:val="single" w:color="DBEAFE" w:sz="1"/>
              <w:bottom w:val="single" w:color="DBEAFE" w:sz="1"/>
              <w:right w:val="single" w:color="DBEAFE" w:sz="1"/>
            </w:tcBorders>
            <w:shd w:fill="F0F7FF" w:val="clear"/>
            <w:tcMar>
              <w:top w:type="dxa" w:w="95"/>
              <w:left w:type="dxa" w:w="110"/>
              <w:bottom w:type="dxa" w:w="95"/>
              <w:right w:type="dxa" w:w="110"/>
            </w:tcMar>
          </w:tcPr>
          <w:p>
            <w:r>
              <w:rPr>
                <w:rFonts w:ascii="Georgia" w:cs="Georgia" w:eastAsia="Georgia" w:hAnsi="Georgia"/>
                <w:color w:val="111827"/>
                <w:sz w:val="18"/>
                <w:szCs w:val="18"/>
              </w:rPr>
              <w:t xml:space="preserve">Can the ISMS operate for 2 weeks if the ISMS Manager is unavailable?</w:t>
            </w:r>
          </w:p>
        </w:tc>
        <w:tc>
          <w:tcPr>
            <w:tcW w:type="dxa" w:w="24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Georgia" w:cs="Georgia" w:eastAsia="Georgia" w:hAnsi="Georgia"/>
                <w:color w:val="065F46"/>
                <w:sz w:val="17"/>
                <w:szCs w:val="17"/>
              </w:rPr>
              <w:t xml:space="preserve">Deputy owner exists, procedures are documented, at least one other person knows the ISMS</w:t>
            </w:r>
          </w:p>
        </w:tc>
        <w:tc>
          <w:tcPr>
            <w:tcW w:type="dxa" w:w="2400"/>
            <w:tcBorders>
              <w:top w:val="single" w:color="DBEAFE" w:sz="1"/>
              <w:left w:val="single" w:color="DBEAFE" w:sz="1"/>
              <w:bottom w:val="single" w:color="DBEAFE" w:sz="1"/>
              <w:right w:val="single" w:color="DBEAFE" w:sz="1"/>
            </w:tcBorders>
            <w:shd w:fill="FEF2F2" w:val="clear"/>
            <w:tcMar>
              <w:top w:type="dxa" w:w="95"/>
              <w:left w:type="dxa" w:w="110"/>
              <w:bottom w:type="dxa" w:w="95"/>
              <w:right w:type="dxa" w:w="110"/>
            </w:tcMar>
          </w:tcPr>
          <w:p>
            <w:r>
              <w:rPr>
                <w:rFonts w:ascii="Georgia" w:cs="Georgia" w:eastAsia="Georgia" w:hAnsi="Georgia"/>
                <w:color w:val="991B1B"/>
                <w:sz w:val="17"/>
                <w:szCs w:val="17"/>
              </w:rPr>
              <w:t xml:space="preserve">Only the ISMS Manager knows the system; no backup capability</w:t>
            </w:r>
          </w:p>
        </w:tc>
        <w:tc>
          <w:tcPr>
            <w:tcW w:type="dxa" w:w="1560"/>
            <w:tcBorders>
              <w:top w:val="single" w:color="DBEAFE" w:sz="1"/>
              <w:left w:val="single" w:color="DBEAFE" w:sz="1"/>
              <w:bottom w:val="single" w:color="DBEAFE" w:sz="1"/>
              <w:right w:val="single" w:color="DBEAFE" w:sz="1"/>
            </w:tcBorders>
            <w:shd w:fill="EEF2FF" w:val="clear"/>
            <w:tcMar>
              <w:top w:type="dxa" w:w="95"/>
              <w:left w:type="dxa" w:w="100"/>
              <w:bottom w:type="dxa" w:w="95"/>
              <w:right w:type="dxa" w:w="100"/>
            </w:tcMar>
          </w:tcPr>
          <w:p>
            <w:r>
              <w:rPr>
                <w:rFonts w:ascii="Arial" w:cs="Arial" w:eastAsia="Arial" w:hAnsi="Arial"/>
                <w:b/>
                <w:bCs/>
                <w:color w:val="3730A3"/>
                <w:sz w:val="15"/>
                <w:szCs w:val="15"/>
              </w:rPr>
              <w:t xml:space="preserve">Clause 5.3 / operational risk</w:t>
            </w:r>
          </w:p>
        </w:tc>
      </w:tr>
    </w:tbl>
    <w:p>
      <w:pPr>
        <w:spacing w:after="160"/>
      </w:pPr>
      <w:r>
        <w:t xml:space="preserve"/>
      </w:r>
    </w:p>
    <w:p>
      <w:pPr>
        <w:spacing w:after="160" w:line="320"/>
        <w:jc w:val="both"/>
      </w:pPr>
      <w:r>
        <w:rPr>
          <w:rFonts w:ascii="Georgia" w:cs="Georgia" w:eastAsia="Georgia" w:hAnsi="Georgia"/>
          <w:color w:val="111827"/>
          <w:sz w:val="22"/>
          <w:szCs w:val="22"/>
        </w:rPr>
        <w:t xml:space="preserve">A scoring guide: 8–10 green answers represents a healthy ISMS likely to pass audit with minor findings or none. 5–7 green answers represents an ISMS with specific gaps to address before the next audit. 4 or fewer green answers represents an ISMS that needs significant attention before it is ready for external audit. Use the red answers as a prioritized corrective action list — each red answer maps to a specific clause or control area with a known fix.</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ISMS health dashboard: Bitlion's platform provides a real-time ISMS health dashboard that continuously monitors the metrics underlying these self-diagnostic questions — evidence currency, CAR open/close rates, training completion, phishing simulation trends, risk register last-updated date, and management review schedule. The dashboard flags amber and red status for any metric falling outside target, enabling proactive intervention months before an audit rather than reactive scrambling in the final weeks.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What Successful Certifications Have in Common</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achieve ISO 27001 certification smoothly and maintain it cleanly across multiple cycles share a remarkably consistent set of characteristics — regardless of their size, sector, or starting maturity level.</w:t>
      </w:r>
    </w:p>
    <w:p>
      <w:pPr>
        <w:spacing w:after="80"/>
      </w:pPr>
      <w:r>
        <w:t xml:space="preserve"/>
      </w:r>
    </w:p>
    <w:p>
      <w:pPr>
        <w:spacing w:after="160" w:line="320"/>
        <w:jc w:val="both"/>
      </w:pPr>
      <w:r>
        <w:rPr>
          <w:rFonts w:ascii="Georgia" w:cs="Georgia" w:eastAsia="Georgia" w:hAnsi="Georgia"/>
          <w:color w:val="111827"/>
          <w:sz w:val="22"/>
          <w:szCs w:val="22"/>
        </w:rPr>
        <w:t xml:space="preserve">They have genuine leadership engagement. The CEO understands the ISMS, chairs management reviews, and makes informed decisions about risk appetite. The security program is not delegated entirely to the CISO — it is a management priority.</w:t>
      </w:r>
    </w:p>
    <w:p>
      <w:pPr>
        <w:spacing w:after="80"/>
      </w:pPr>
      <w:r>
        <w:t xml:space="preserve"/>
      </w:r>
    </w:p>
    <w:p>
      <w:pPr>
        <w:spacing w:after="160" w:line="320"/>
        <w:jc w:val="both"/>
      </w:pPr>
      <w:r>
        <w:rPr>
          <w:rFonts w:ascii="Georgia" w:cs="Georgia" w:eastAsia="Georgia" w:hAnsi="Georgia"/>
          <w:color w:val="111827"/>
          <w:sz w:val="22"/>
          <w:szCs w:val="22"/>
        </w:rPr>
        <w:t xml:space="preserve">They treat the ISMS as an operational system, not a project. Controls run on schedules. Evidence is collected as a byproduct of operation. The ISMS calendar is maintained independently of audit proximity. Surveillance audits feel like status checks, not panicked preparation exercises.</w:t>
      </w:r>
    </w:p>
    <w:p>
      <w:pPr>
        <w:spacing w:after="80"/>
      </w:pPr>
      <w:r>
        <w:t xml:space="preserve"/>
      </w:r>
    </w:p>
    <w:p>
      <w:pPr>
        <w:spacing w:after="160" w:line="320"/>
        <w:jc w:val="both"/>
      </w:pPr>
      <w:r>
        <w:rPr>
          <w:rFonts w:ascii="Georgia" w:cs="Georgia" w:eastAsia="Georgia" w:hAnsi="Georgia"/>
          <w:color w:val="111827"/>
          <w:sz w:val="22"/>
          <w:szCs w:val="22"/>
        </w:rPr>
        <w:t xml:space="preserve">They use findings as improvement signals. Internal audit findings are welcomed rather than minimized. Corrective actions address root causes, not symptoms. The same finding types do not recur across cycles. Each audit produces a slightly more mature ISMS than the one before.</w:t>
      </w:r>
    </w:p>
    <w:p>
      <w:pPr>
        <w:spacing w:after="80"/>
      </w:pPr>
      <w:r>
        <w:t xml:space="preserve"/>
      </w:r>
    </w:p>
    <w:p>
      <w:pPr>
        <w:spacing w:after="160" w:line="320"/>
        <w:jc w:val="both"/>
      </w:pPr>
      <w:r>
        <w:rPr>
          <w:rFonts w:ascii="Georgia" w:cs="Georgia" w:eastAsia="Georgia" w:hAnsi="Georgia"/>
          <w:color w:val="111827"/>
          <w:sz w:val="22"/>
          <w:szCs w:val="22"/>
        </w:rPr>
        <w:t xml:space="preserve">They are honest about gaps. The ISMS documentation reflects operational reality — not an optimistic version of it. SoA implementation statuses say 'Partial' when controls are partially deployed. Risk scores reflect genuine likelihood assessments. The internal audit finds real problems.</w:t>
      </w:r>
    </w:p>
    <w:p>
      <w:pPr>
        <w:spacing w:after="80"/>
      </w:pPr>
      <w:r>
        <w:t xml:space="preserve"/>
      </w:r>
    </w:p>
    <w:p>
      <w:pPr>
        <w:spacing w:after="160" w:line="320"/>
        <w:jc w:val="both"/>
      </w:pPr>
      <w:r>
        <w:rPr>
          <w:rFonts w:ascii="Georgia" w:cs="Georgia" w:eastAsia="Georgia" w:hAnsi="Georgia"/>
          <w:color w:val="111827"/>
          <w:sz w:val="22"/>
          <w:szCs w:val="22"/>
        </w:rPr>
        <w:t xml:space="preserve">None of these characteristics require exceptional resources or technical sophistication. They require organizational commitment, operational discipline, and a willingness to treat information security as a management priority rather than a compliance exercise. That willingness — more than any technical investment — is what separates the organizations that certify confidently from those that struggle.</w:t>
      </w:r>
    </w:p>
    <w:p>
      <w:pPr>
        <w:spacing w:after="200"/>
      </w:pPr>
      <w:r>
        <w:t xml:space="preserve"/>
      </w:r>
    </w:p>
    <w:p>
      <w:pPr>
        <w:pBdr>
          <w:top w:val="single" w:color="0E9F6E" w:sz="4" w:space="4"/>
        </w:pBdr>
        <w:spacing w:before="200" w:after="200"/>
      </w:pPr>
      <w:r>
        <w:t xml:space="preserve"/>
      </w:r>
    </w:p>
    <w:p>
      <w:pPr>
        <w:spacing w:after="80"/>
      </w:pPr>
      <w:r>
        <w:rPr>
          <w:rFonts w:ascii="Arial" w:cs="Arial" w:eastAsia="Arial" w:hAnsi="Arial"/>
          <w:b/>
          <w:bCs/>
          <w:caps/>
          <w:color w:val="0E9F6E"/>
          <w:sz w:val="20"/>
          <w:szCs w:val="20"/>
        </w:rPr>
        <w:t xml:space="preserve">SECTION 4 COMPLETE</w:t>
      </w:r>
    </w:p>
    <w:p>
      <w:pPr>
        <w:spacing w:after="80"/>
      </w:pPr>
      <w:r>
        <w:rPr>
          <w:rFonts w:ascii="Georgia" w:cs="Georgia" w:eastAsia="Georgia" w:hAnsi="Georgia"/>
          <w:color w:val="4B5563"/>
          <w:sz w:val="21"/>
          <w:szCs w:val="21"/>
        </w:rPr>
        <w:t xml:space="preserve">Section 4 — ISO 27001 Certification Process covers the complete certification journey: choosing a certification body, Stage 1 and Stage 2 audits, nonconformity management, certificate maintenance, surveillance audits, recertification, and the common failure patterns that this knowledge helps avoid.</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SECTION</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Section 5 — ISO 27001 Annex A Controls: A deep dive into the 93 controls across all four domains — organizational, people, physical, and technological — with implementation guidance for each control domain in the Indonesian regulatory context.</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2026-03-26T16:04:54.973Z</dcterms:created>
  <dcterms:modified xsi:type="dcterms:W3CDTF">2026-03-26T16:04:54.973Z</dcterms:modified>
</cp:coreProperties>
</file>

<file path=docProps/custom.xml><?xml version="1.0" encoding="utf-8"?>
<Properties xmlns="http://schemas.openxmlformats.org/officeDocument/2006/custom-properties" xmlns:vt="http://schemas.openxmlformats.org/officeDocument/2006/docPropsVTypes"/>
</file>